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6" w:rsidRDefault="00ED69E6">
      <w:pPr>
        <w:spacing w:after="280" w:line="276" w:lineRule="auto"/>
        <w:ind w:left="284"/>
        <w:rPr>
          <w:rFonts w:ascii="Arial" w:hAnsi="Arial" w:cs="Arial"/>
          <w:szCs w:val="22"/>
          <w:lang w:val="de-AT"/>
        </w:rPr>
      </w:pPr>
    </w:p>
    <w:p w:rsidR="00ED69E6" w:rsidRDefault="00221C46">
      <w:pPr>
        <w:jc w:val="right"/>
        <w:rPr>
          <w:rFonts w:cs="Arial"/>
        </w:rPr>
      </w:pPr>
      <w:r>
        <w:rPr>
          <w:rFonts w:cs="Arial"/>
        </w:rPr>
        <w:t>Anlage 1</w:t>
      </w:r>
    </w:p>
    <w:p w:rsidR="00ED69E6" w:rsidRDefault="00221C46">
      <w:pPr>
        <w:rPr>
          <w:rFonts w:cs="Arial"/>
          <w:sz w:val="28"/>
        </w:rPr>
      </w:pPr>
      <w:r>
        <w:rPr>
          <w:rFonts w:cs="Arial"/>
          <w:sz w:val="28"/>
        </w:rPr>
        <w:t>Auswahlkriterien für Primärversorgungseinrichtungen (PVE)</w:t>
      </w:r>
    </w:p>
    <w:p w:rsidR="00ED69E6" w:rsidRDefault="00ED69E6">
      <w:pPr>
        <w:rPr>
          <w:rFonts w:cs="Arial"/>
        </w:rPr>
      </w:pPr>
    </w:p>
    <w:tbl>
      <w:tblPr>
        <w:tblStyle w:val="Tabellenraster"/>
        <w:tblW w:w="15021" w:type="dxa"/>
        <w:tblLook w:val="04A0" w:firstRow="1" w:lastRow="0" w:firstColumn="1" w:lastColumn="0" w:noHBand="0" w:noVBand="1"/>
      </w:tblPr>
      <w:tblGrid>
        <w:gridCol w:w="10627"/>
        <w:gridCol w:w="1984"/>
        <w:gridCol w:w="2410"/>
      </w:tblGrid>
      <w:tr w:rsidR="00ED69E6">
        <w:trPr>
          <w:trHeight w:val="397"/>
        </w:trPr>
        <w:tc>
          <w:tcPr>
            <w:tcW w:w="15021" w:type="dxa"/>
            <w:gridSpan w:val="3"/>
            <w:shd w:val="clear" w:color="auto" w:fill="DAEEF3" w:themeFill="accent5" w:themeFillTint="33"/>
            <w:vAlign w:val="center"/>
          </w:tcPr>
          <w:p w:rsidR="00ED69E6" w:rsidRDefault="00221C46">
            <w:pPr>
              <w:spacing w:before="120" w:after="120"/>
              <w:rPr>
                <w:rFonts w:cs="Arial"/>
              </w:rPr>
            </w:pPr>
            <w:r>
              <w:rPr>
                <w:rFonts w:cs="Arial"/>
                <w:b/>
              </w:rPr>
              <w:t>Arztbezogene Kriterien</w:t>
            </w:r>
          </w:p>
        </w:tc>
      </w:tr>
      <w:tr w:rsidR="00ED69E6">
        <w:trPr>
          <w:trHeight w:val="397"/>
        </w:trPr>
        <w:tc>
          <w:tcPr>
            <w:tcW w:w="15021" w:type="dxa"/>
            <w:gridSpan w:val="3"/>
            <w:vAlign w:val="center"/>
          </w:tcPr>
          <w:p w:rsidR="00ED69E6" w:rsidRDefault="00221C46">
            <w:pPr>
              <w:spacing w:before="120" w:after="120"/>
              <w:rPr>
                <w:rFonts w:cs="Arial"/>
              </w:rPr>
            </w:pPr>
            <w:r>
              <w:rPr>
                <w:rFonts w:cs="Arial"/>
              </w:rPr>
              <w:t xml:space="preserve">Punkteberechnung gemäß Abschnitt V. der Auswahlrichtlinie </w:t>
            </w:r>
          </w:p>
          <w:p w:rsidR="00ED69E6" w:rsidRDefault="00221C46">
            <w:pPr>
              <w:spacing w:before="120" w:after="120"/>
              <w:rPr>
                <w:rFonts w:cs="Arial"/>
              </w:rPr>
            </w:pPr>
            <w:r>
              <w:rPr>
                <w:rFonts w:cs="Arial"/>
              </w:rPr>
              <w:t xml:space="preserve">Die Kriterien sind auf jedes </w:t>
            </w:r>
            <w:r>
              <w:rPr>
                <w:rFonts w:cs="Arial"/>
              </w:rPr>
              <w:t>einzelne Mitglied des Bewerberteams anzuwenden und die Bewertung hat teambezogen zu erfolgen: Die Punktezahl für ein Bewerberteam ergibt sich aus der Summe der Punkte je Bewerber dividiert durch die Anzahl der Teammitglieder.</w:t>
            </w:r>
          </w:p>
        </w:tc>
      </w:tr>
      <w:tr w:rsidR="00ED69E6">
        <w:trPr>
          <w:trHeight w:val="397"/>
        </w:trPr>
        <w:tc>
          <w:tcPr>
            <w:tcW w:w="12611" w:type="dxa"/>
            <w:gridSpan w:val="2"/>
            <w:shd w:val="clear" w:color="auto" w:fill="DAEEF3" w:themeFill="accent5" w:themeFillTint="33"/>
            <w:vAlign w:val="center"/>
          </w:tcPr>
          <w:p w:rsidR="00ED69E6" w:rsidRDefault="00221C46">
            <w:pPr>
              <w:rPr>
                <w:rFonts w:cs="Arial"/>
                <w:b/>
              </w:rPr>
            </w:pPr>
            <w:r>
              <w:rPr>
                <w:rFonts w:cs="Arial"/>
                <w:b/>
              </w:rPr>
              <w:t>Projektbezogene Kriterien</w:t>
            </w:r>
            <w:r>
              <w:rPr>
                <w:rStyle w:val="Funotenzeichen"/>
                <w:rFonts w:cs="Arial"/>
                <w:b/>
              </w:rPr>
              <w:footnoteReference w:id="1"/>
            </w:r>
          </w:p>
        </w:tc>
        <w:tc>
          <w:tcPr>
            <w:tcW w:w="2410" w:type="dxa"/>
            <w:shd w:val="clear" w:color="auto" w:fill="DAEEF3" w:themeFill="accent5" w:themeFillTint="33"/>
            <w:vAlign w:val="center"/>
          </w:tcPr>
          <w:p w:rsidR="00ED69E6" w:rsidRDefault="00221C46">
            <w:pPr>
              <w:spacing w:before="120" w:after="120"/>
              <w:rPr>
                <w:rFonts w:cs="Arial"/>
              </w:rPr>
            </w:pPr>
            <w:r>
              <w:rPr>
                <w:rFonts w:cs="Arial"/>
              </w:rPr>
              <w:t xml:space="preserve">Erreichbare Punkte </w:t>
            </w:r>
          </w:p>
        </w:tc>
      </w:tr>
      <w:tr w:rsidR="00ED69E6">
        <w:trPr>
          <w:trHeight w:val="397"/>
        </w:trPr>
        <w:tc>
          <w:tcPr>
            <w:tcW w:w="10627" w:type="dxa"/>
            <w:vAlign w:val="center"/>
          </w:tcPr>
          <w:p w:rsidR="00ED69E6" w:rsidRDefault="00221C46">
            <w:pPr>
              <w:spacing w:before="120" w:after="120"/>
              <w:rPr>
                <w:rFonts w:cs="Arial"/>
              </w:rPr>
            </w:pPr>
            <w:r>
              <w:rPr>
                <w:rFonts w:cs="Arial"/>
              </w:rPr>
              <w:t>Gute verkehrsmäßige Erreichbarkeit des Standorts im öffentlichen Nahverkehr mit mehrmals täglich an- und abfahrendem öffentlichen Verkehrsmittel</w:t>
            </w:r>
            <w:r>
              <w:rPr>
                <w:rStyle w:val="Funotenzeichen"/>
                <w:rFonts w:cs="Arial"/>
              </w:rPr>
              <w:footnoteReference w:id="2"/>
            </w:r>
            <w:r>
              <w:rPr>
                <w:rFonts w:cs="Arial"/>
              </w:rPr>
              <w:t xml:space="preserve"> </w:t>
            </w:r>
          </w:p>
          <w:p w:rsidR="00ED69E6" w:rsidRDefault="00221C46">
            <w:pPr>
              <w:spacing w:before="120" w:after="120"/>
              <w:rPr>
                <w:rFonts w:cs="Arial"/>
              </w:rPr>
            </w:pPr>
            <w:r>
              <w:rPr>
                <w:rFonts w:cs="Arial"/>
              </w:rPr>
              <w:t>Haltestelle ist mehr als 250 m aber max. 500 m (ganzjährig begehbare Wegstrecke) von der</w:t>
            </w:r>
            <w:r>
              <w:rPr>
                <w:rFonts w:cs="Arial"/>
              </w:rPr>
              <w:t xml:space="preserve"> PVE entfernt</w:t>
            </w:r>
          </w:p>
          <w:p w:rsidR="00ED69E6" w:rsidRDefault="00221C46">
            <w:pPr>
              <w:spacing w:before="120" w:after="120"/>
              <w:rPr>
                <w:rFonts w:cs="Arial"/>
              </w:rPr>
            </w:pPr>
            <w:r>
              <w:rPr>
                <w:rFonts w:cs="Arial"/>
              </w:rPr>
              <w:t>Haltestelle max. 250 m (ganzjährig begehbare Wegstrecke) von der PVE entfernt</w:t>
            </w:r>
          </w:p>
        </w:tc>
        <w:tc>
          <w:tcPr>
            <w:tcW w:w="1984" w:type="dxa"/>
          </w:tcPr>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1,5 Punkte</w:t>
            </w:r>
          </w:p>
          <w:p w:rsidR="00ED69E6" w:rsidRDefault="00221C46">
            <w:pPr>
              <w:spacing w:before="120" w:after="120"/>
              <w:rPr>
                <w:rFonts w:cs="Arial"/>
              </w:rPr>
            </w:pPr>
            <w:r>
              <w:rPr>
                <w:rFonts w:cs="Arial"/>
              </w:rPr>
              <w:t>3 Punkte</w:t>
            </w:r>
          </w:p>
        </w:tc>
        <w:tc>
          <w:tcPr>
            <w:tcW w:w="2410" w:type="dxa"/>
          </w:tcPr>
          <w:p w:rsidR="00ED69E6" w:rsidRDefault="00ED69E6">
            <w:pPr>
              <w:spacing w:before="120" w:after="120"/>
              <w:rPr>
                <w:rFonts w:cs="Arial"/>
              </w:rPr>
            </w:pPr>
          </w:p>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max. 3 Punkte</w:t>
            </w:r>
          </w:p>
        </w:tc>
      </w:tr>
      <w:tr w:rsidR="00ED69E6">
        <w:trPr>
          <w:trHeight w:val="397"/>
        </w:trPr>
        <w:tc>
          <w:tcPr>
            <w:tcW w:w="10627" w:type="dxa"/>
            <w:vAlign w:val="center"/>
          </w:tcPr>
          <w:p w:rsidR="00ED69E6" w:rsidRDefault="00221C46">
            <w:pPr>
              <w:spacing w:before="120" w:after="120"/>
              <w:rPr>
                <w:rFonts w:cs="Arial"/>
              </w:rPr>
            </w:pPr>
            <w:r>
              <w:rPr>
                <w:rFonts w:cs="Arial"/>
              </w:rPr>
              <w:t>Kostenlos zu benützende Parkplätze vorhanden.</w:t>
            </w:r>
          </w:p>
          <w:p w:rsidR="00ED69E6" w:rsidRDefault="00221C46">
            <w:pPr>
              <w:spacing w:before="120" w:after="120"/>
              <w:rPr>
                <w:rFonts w:cs="Arial"/>
              </w:rPr>
            </w:pPr>
            <w:r>
              <w:rPr>
                <w:rFonts w:cs="Arial"/>
              </w:rPr>
              <w:t xml:space="preserve">Pro Parkplatz </w:t>
            </w:r>
          </w:p>
        </w:tc>
        <w:tc>
          <w:tcPr>
            <w:tcW w:w="1984" w:type="dxa"/>
          </w:tcPr>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0,5 Punkte</w:t>
            </w:r>
          </w:p>
        </w:tc>
        <w:tc>
          <w:tcPr>
            <w:tcW w:w="2410" w:type="dxa"/>
          </w:tcPr>
          <w:p w:rsidR="00ED69E6" w:rsidRDefault="00221C46">
            <w:pPr>
              <w:spacing w:before="120" w:after="120"/>
              <w:rPr>
                <w:rFonts w:cs="Arial"/>
              </w:rPr>
            </w:pPr>
            <w:r>
              <w:rPr>
                <w:rFonts w:cs="Arial"/>
              </w:rPr>
              <w:t>Pro Kassenplanstelle können Punkte für 1 Parkplatz</w:t>
            </w:r>
            <w:r>
              <w:rPr>
                <w:rFonts w:cs="Arial"/>
              </w:rPr>
              <w:t xml:space="preserve"> vergeben werden. Insgesamt erreichbar max. 3 Punkte</w:t>
            </w:r>
          </w:p>
        </w:tc>
      </w:tr>
      <w:tr w:rsidR="00ED69E6">
        <w:trPr>
          <w:trHeight w:val="397"/>
        </w:trPr>
        <w:tc>
          <w:tcPr>
            <w:tcW w:w="10627" w:type="dxa"/>
            <w:vAlign w:val="center"/>
          </w:tcPr>
          <w:p w:rsidR="00ED69E6" w:rsidRDefault="00221C46">
            <w:pPr>
              <w:spacing w:before="120" w:after="120"/>
              <w:rPr>
                <w:rFonts w:cs="Arial"/>
              </w:rPr>
            </w:pPr>
            <w:r>
              <w:rPr>
                <w:rFonts w:cs="Arial"/>
              </w:rPr>
              <w:t>Hilfen für Menschen mit Behinderungen:</w:t>
            </w:r>
          </w:p>
          <w:p w:rsidR="00ED69E6" w:rsidRDefault="00221C46">
            <w:pPr>
              <w:pStyle w:val="Listenabsatz"/>
              <w:numPr>
                <w:ilvl w:val="0"/>
                <w:numId w:val="28"/>
              </w:numPr>
              <w:spacing w:before="120" w:after="120"/>
              <w:rPr>
                <w:rFonts w:cs="Arial"/>
              </w:rPr>
            </w:pPr>
            <w:r>
              <w:rPr>
                <w:rFonts w:cs="Arial"/>
              </w:rPr>
              <w:t>taktiles Leitsystem (in dem bei der Bewerbung vorzulegenden Gebäudeplan nachzuweisen)</w:t>
            </w:r>
          </w:p>
          <w:p w:rsidR="00ED69E6" w:rsidRDefault="00221C46">
            <w:pPr>
              <w:pStyle w:val="Listenabsatz"/>
              <w:numPr>
                <w:ilvl w:val="0"/>
                <w:numId w:val="28"/>
              </w:numPr>
              <w:spacing w:before="120" w:after="120"/>
              <w:rPr>
                <w:rFonts w:cs="Arial"/>
              </w:rPr>
            </w:pPr>
            <w:r>
              <w:rPr>
                <w:rFonts w:cs="Arial"/>
              </w:rPr>
              <w:t>Ausbildung in Gebärdensprache (im ärztlichen Team, durch Vorlage des Ausbildu</w:t>
            </w:r>
            <w:r>
              <w:rPr>
                <w:rFonts w:cs="Arial"/>
              </w:rPr>
              <w:t>ngszeugnisses im Rahmen der Bewerbung nachzuweisen)</w:t>
            </w:r>
          </w:p>
          <w:p w:rsidR="00ED69E6" w:rsidRDefault="00221C46">
            <w:pPr>
              <w:spacing w:before="120" w:after="120"/>
              <w:rPr>
                <w:rFonts w:cs="Arial"/>
              </w:rPr>
            </w:pPr>
            <w:r>
              <w:rPr>
                <w:rFonts w:cs="Arial"/>
              </w:rPr>
              <w:t>pro Maßnahme</w:t>
            </w:r>
          </w:p>
        </w:tc>
        <w:tc>
          <w:tcPr>
            <w:tcW w:w="1984" w:type="dxa"/>
            <w:vAlign w:val="center"/>
          </w:tcPr>
          <w:p w:rsidR="00ED69E6" w:rsidRDefault="00ED69E6">
            <w:pPr>
              <w:spacing w:before="120" w:after="120"/>
              <w:rPr>
                <w:rFonts w:cs="Arial"/>
              </w:rPr>
            </w:pPr>
          </w:p>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1 Punkt</w:t>
            </w:r>
          </w:p>
        </w:tc>
        <w:tc>
          <w:tcPr>
            <w:tcW w:w="2410" w:type="dxa"/>
            <w:vAlign w:val="center"/>
          </w:tcPr>
          <w:p w:rsidR="00ED69E6" w:rsidRDefault="00ED69E6">
            <w:pPr>
              <w:spacing w:before="120" w:after="120"/>
              <w:rPr>
                <w:rFonts w:cs="Arial"/>
              </w:rPr>
            </w:pPr>
          </w:p>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max. 2 Punkte</w:t>
            </w:r>
          </w:p>
        </w:tc>
      </w:tr>
      <w:tr w:rsidR="00ED69E6">
        <w:trPr>
          <w:trHeight w:val="397"/>
        </w:trPr>
        <w:tc>
          <w:tcPr>
            <w:tcW w:w="10627" w:type="dxa"/>
            <w:vAlign w:val="center"/>
          </w:tcPr>
          <w:p w:rsidR="00ED69E6" w:rsidRDefault="00221C46">
            <w:pPr>
              <w:spacing w:before="120" w:after="120"/>
              <w:rPr>
                <w:rFonts w:cs="Arial"/>
              </w:rPr>
            </w:pPr>
            <w:r>
              <w:rPr>
                <w:rFonts w:cs="Arial"/>
              </w:rPr>
              <w:t>Mehr als eine Person im ärztlichen Team hat die Ausbildung für Substitutionstherapie oder „Therapie aktiv“ und verpflichtet sich, diese anzubieten</w:t>
            </w:r>
            <w:r>
              <w:rPr>
                <w:rStyle w:val="Funotenzeichen"/>
                <w:rFonts w:cs="Arial"/>
              </w:rPr>
              <w:footnoteReference w:id="3"/>
            </w:r>
            <w:r>
              <w:rPr>
                <w:rFonts w:cs="Arial"/>
              </w:rPr>
              <w:t>.</w:t>
            </w:r>
          </w:p>
          <w:p w:rsidR="00ED69E6" w:rsidRDefault="00221C46">
            <w:pPr>
              <w:spacing w:before="120" w:after="120"/>
              <w:rPr>
                <w:rFonts w:cs="Arial"/>
              </w:rPr>
            </w:pPr>
            <w:r>
              <w:rPr>
                <w:rFonts w:cs="Arial"/>
              </w:rPr>
              <w:t>Substitutionstherapie</w:t>
            </w:r>
          </w:p>
          <w:p w:rsidR="00ED69E6" w:rsidRDefault="00221C46">
            <w:pPr>
              <w:spacing w:before="120" w:after="120"/>
              <w:rPr>
                <w:rFonts w:cs="Arial"/>
              </w:rPr>
            </w:pPr>
            <w:r>
              <w:rPr>
                <w:rFonts w:cs="Arial"/>
              </w:rPr>
              <w:t>„Therapie aktiv“</w:t>
            </w:r>
          </w:p>
        </w:tc>
        <w:tc>
          <w:tcPr>
            <w:tcW w:w="1984" w:type="dxa"/>
            <w:vAlign w:val="center"/>
          </w:tcPr>
          <w:p w:rsidR="00ED69E6" w:rsidRDefault="00ED69E6">
            <w:pPr>
              <w:spacing w:before="120" w:after="120"/>
              <w:rPr>
                <w:rFonts w:cs="Arial"/>
              </w:rPr>
            </w:pPr>
          </w:p>
          <w:p w:rsidR="00ED69E6" w:rsidRDefault="00221C46">
            <w:pPr>
              <w:spacing w:before="120" w:after="120"/>
              <w:rPr>
                <w:rFonts w:cs="Arial"/>
              </w:rPr>
            </w:pPr>
            <w:r>
              <w:rPr>
                <w:rFonts w:cs="Arial"/>
              </w:rPr>
              <w:t xml:space="preserve">max. 3 Punkte </w:t>
            </w:r>
          </w:p>
          <w:p w:rsidR="00ED69E6" w:rsidRDefault="00221C46">
            <w:pPr>
              <w:spacing w:before="120" w:after="120"/>
              <w:rPr>
                <w:rFonts w:cs="Arial"/>
              </w:rPr>
            </w:pPr>
            <w:r>
              <w:rPr>
                <w:rFonts w:cs="Arial"/>
              </w:rPr>
              <w:t>max. 3 Punkte</w:t>
            </w:r>
          </w:p>
        </w:tc>
        <w:tc>
          <w:tcPr>
            <w:tcW w:w="2410" w:type="dxa"/>
            <w:vAlign w:val="center"/>
          </w:tcPr>
          <w:p w:rsidR="00ED69E6" w:rsidRDefault="00ED69E6">
            <w:pPr>
              <w:spacing w:before="120" w:after="120"/>
              <w:rPr>
                <w:rFonts w:cs="Arial"/>
              </w:rPr>
            </w:pPr>
          </w:p>
          <w:p w:rsidR="00ED69E6" w:rsidRDefault="00ED69E6">
            <w:pPr>
              <w:spacing w:before="120" w:after="120"/>
              <w:rPr>
                <w:rFonts w:cs="Arial"/>
              </w:rPr>
            </w:pPr>
          </w:p>
          <w:p w:rsidR="00ED69E6" w:rsidRDefault="00221C46">
            <w:pPr>
              <w:spacing w:before="120" w:after="120"/>
              <w:rPr>
                <w:rFonts w:cs="Arial"/>
              </w:rPr>
            </w:pPr>
            <w:r>
              <w:rPr>
                <w:rFonts w:cs="Arial"/>
              </w:rPr>
              <w:t>6 Punkte</w:t>
            </w:r>
          </w:p>
        </w:tc>
      </w:tr>
      <w:tr w:rsidR="00ED69E6">
        <w:trPr>
          <w:trHeight w:val="397"/>
        </w:trPr>
        <w:tc>
          <w:tcPr>
            <w:tcW w:w="10627" w:type="dxa"/>
            <w:vAlign w:val="center"/>
          </w:tcPr>
          <w:p w:rsidR="00ED69E6" w:rsidRDefault="00221C46">
            <w:pPr>
              <w:spacing w:before="120" w:after="120"/>
              <w:rPr>
                <w:rFonts w:cs="Arial"/>
              </w:rPr>
            </w:pPr>
            <w:r>
              <w:rPr>
                <w:rFonts w:cs="Arial"/>
              </w:rPr>
              <w:t xml:space="preserve">Abdeckung von zuvor unbesetzten bzw. aufgrund der Versorgungssituation neu zu schaffenden Kassenplanstellen  für Kinder- und Jugendheilkunde (falls laut Ausschreibung </w:t>
            </w:r>
            <w:r>
              <w:rPr>
                <w:rFonts w:cs="Arial"/>
              </w:rPr>
              <w:t>gewünscht)</w:t>
            </w:r>
          </w:p>
        </w:tc>
        <w:tc>
          <w:tcPr>
            <w:tcW w:w="1984" w:type="dxa"/>
            <w:vAlign w:val="center"/>
          </w:tcPr>
          <w:p w:rsidR="00ED69E6" w:rsidRDefault="00ED69E6">
            <w:pPr>
              <w:spacing w:before="120" w:after="120"/>
              <w:rPr>
                <w:rFonts w:cs="Arial"/>
              </w:rPr>
            </w:pPr>
          </w:p>
        </w:tc>
        <w:tc>
          <w:tcPr>
            <w:tcW w:w="2410" w:type="dxa"/>
            <w:vAlign w:val="center"/>
          </w:tcPr>
          <w:p w:rsidR="00ED69E6" w:rsidRDefault="00ED69E6">
            <w:pPr>
              <w:spacing w:before="120" w:after="120"/>
              <w:rPr>
                <w:rFonts w:cs="Arial"/>
              </w:rPr>
            </w:pPr>
          </w:p>
          <w:p w:rsidR="00ED69E6" w:rsidRDefault="00221C46">
            <w:pPr>
              <w:spacing w:before="120" w:after="120"/>
              <w:rPr>
                <w:rFonts w:cs="Arial"/>
              </w:rPr>
            </w:pPr>
            <w:r>
              <w:rPr>
                <w:rFonts w:cs="Arial"/>
              </w:rPr>
              <w:t>18 Punkte</w:t>
            </w:r>
            <w:r>
              <w:rPr>
                <w:rStyle w:val="Funotenzeichen"/>
                <w:rFonts w:cs="Arial"/>
              </w:rPr>
              <w:footnoteReference w:id="4"/>
            </w:r>
            <w:r>
              <w:rPr>
                <w:rFonts w:cs="Arial"/>
              </w:rPr>
              <w:t xml:space="preserve"> pro Stelle</w:t>
            </w:r>
          </w:p>
        </w:tc>
      </w:tr>
      <w:tr w:rsidR="00ED69E6">
        <w:trPr>
          <w:trHeight w:val="397"/>
        </w:trPr>
        <w:tc>
          <w:tcPr>
            <w:tcW w:w="10627" w:type="dxa"/>
            <w:vAlign w:val="center"/>
          </w:tcPr>
          <w:p w:rsidR="00ED69E6" w:rsidRDefault="00221C46">
            <w:pPr>
              <w:spacing w:before="120" w:after="120"/>
              <w:rPr>
                <w:rFonts w:cs="Arial"/>
              </w:rPr>
            </w:pPr>
            <w:r>
              <w:rPr>
                <w:rFonts w:cs="Arial"/>
              </w:rPr>
              <w:t>Abdeckung von zuvor unbesetzten bzw. aufgrund der Versorgungssituation neu zu schaffenden Kassenplanstellen für Allgemeinmedizin (falls laut Ausschreibung gewünscht)</w:t>
            </w:r>
          </w:p>
          <w:p w:rsidR="00ED69E6" w:rsidRDefault="00221C46">
            <w:pPr>
              <w:spacing w:before="120" w:after="120"/>
              <w:rPr>
                <w:rFonts w:cs="Arial"/>
              </w:rPr>
            </w:pPr>
            <w:r>
              <w:rPr>
                <w:rFonts w:cs="Arial"/>
              </w:rPr>
              <w:t>Pro abgedeckter Kassenplanstelle</w:t>
            </w:r>
          </w:p>
        </w:tc>
        <w:tc>
          <w:tcPr>
            <w:tcW w:w="1984" w:type="dxa"/>
            <w:vAlign w:val="center"/>
          </w:tcPr>
          <w:p w:rsidR="00ED69E6" w:rsidRDefault="00ED69E6">
            <w:pPr>
              <w:spacing w:before="120" w:after="120"/>
              <w:rPr>
                <w:rFonts w:cs="Arial"/>
              </w:rPr>
            </w:pPr>
          </w:p>
          <w:p w:rsidR="00ED69E6" w:rsidRDefault="00221C46">
            <w:pPr>
              <w:spacing w:before="120" w:after="120"/>
              <w:rPr>
                <w:rFonts w:cs="Arial"/>
              </w:rPr>
            </w:pPr>
            <w:r>
              <w:rPr>
                <w:rFonts w:cs="Arial"/>
              </w:rPr>
              <w:t>18 Punkte</w:t>
            </w:r>
          </w:p>
        </w:tc>
        <w:tc>
          <w:tcPr>
            <w:tcW w:w="2410" w:type="dxa"/>
            <w:vAlign w:val="center"/>
          </w:tcPr>
          <w:p w:rsidR="00ED69E6" w:rsidRDefault="00ED69E6">
            <w:pPr>
              <w:spacing w:before="120" w:after="120"/>
              <w:rPr>
                <w:rFonts w:cs="Arial"/>
              </w:rPr>
            </w:pPr>
          </w:p>
          <w:p w:rsidR="00ED69E6" w:rsidRDefault="00221C46">
            <w:pPr>
              <w:spacing w:before="120" w:after="120"/>
              <w:rPr>
                <w:rFonts w:cs="Arial"/>
              </w:rPr>
            </w:pPr>
            <w:r>
              <w:rPr>
                <w:rFonts w:cs="Arial"/>
              </w:rPr>
              <w:t>18 Punkte</w:t>
            </w:r>
            <w:r>
              <w:rPr>
                <w:rStyle w:val="Funotenzeichen"/>
              </w:rPr>
              <w:t>3</w:t>
            </w:r>
            <w:r>
              <w:rPr>
                <w:rFonts w:cs="Arial"/>
              </w:rPr>
              <w:t>pro Stelle</w:t>
            </w:r>
          </w:p>
        </w:tc>
      </w:tr>
    </w:tbl>
    <w:p w:rsidR="00ED69E6" w:rsidRDefault="00ED69E6">
      <w:pPr>
        <w:rPr>
          <w:rFonts w:cs="Arial"/>
          <w:sz w:val="28"/>
        </w:rPr>
      </w:pPr>
    </w:p>
    <w:p w:rsidR="00ED69E6" w:rsidRDefault="00221C46">
      <w:pPr>
        <w:rPr>
          <w:rFonts w:cs="Arial"/>
          <w:b/>
        </w:rPr>
      </w:pPr>
      <w:r>
        <w:rPr>
          <w:rFonts w:cs="Arial"/>
          <w:b/>
        </w:rPr>
        <w:t>Berechnung der zu vergebenden Punkte pro Bewerberteam:</w:t>
      </w:r>
    </w:p>
    <w:p w:rsidR="00ED69E6" w:rsidRDefault="00221C46" w:rsidP="00471C35">
      <w:pPr>
        <w:spacing w:before="120" w:after="120"/>
        <w:rPr>
          <w:rFonts w:ascii="Arial" w:hAnsi="Arial" w:cs="Arial"/>
          <w:szCs w:val="22"/>
          <w:lang w:val="de-AT"/>
        </w:rPr>
      </w:pPr>
      <w:r>
        <w:rPr>
          <w:rFonts w:cs="Arial"/>
        </w:rPr>
        <w:t>Die arztbezogenen Kriterien gemäß Abschnitt V der Auswahlrichtlinie sind auf jedes einzelne Mitglied des Bewerberteams anzuwenden u</w:t>
      </w:r>
      <w:r>
        <w:rPr>
          <w:rFonts w:cs="Arial"/>
        </w:rPr>
        <w:t>nd die Bewertung hat teambezogen zu erfolgen: Die Punktezahl für ein Bewerberteam ergibt sich aus der Summe der Punkte je Bewerber dividiert durch die Anzahl der Teammitglieder. Diese Punkteanzahl wird in einem zweiten Schritt um die errechneten projektbez</w:t>
      </w:r>
      <w:r>
        <w:rPr>
          <w:rFonts w:cs="Arial"/>
        </w:rPr>
        <w:t>ogenen Kriterien erhöht.</w:t>
      </w:r>
    </w:p>
    <w:sectPr w:rsidR="00ED69E6" w:rsidSect="00471C35">
      <w:footerReference w:type="default" r:id="rId8"/>
      <w:pgSz w:w="16838" w:h="11906" w:orient="landscape"/>
      <w:pgMar w:top="851" w:right="1418" w:bottom="568" w:left="1134" w:header="720"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46" w:rsidRDefault="00221C46">
      <w:r>
        <w:separator/>
      </w:r>
    </w:p>
  </w:endnote>
  <w:endnote w:type="continuationSeparator" w:id="0">
    <w:p w:rsidR="00221C46" w:rsidRDefault="0022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82955"/>
      <w:docPartObj>
        <w:docPartGallery w:val="Page Numbers (Bottom of Page)"/>
        <w:docPartUnique/>
      </w:docPartObj>
    </w:sdtPr>
    <w:sdtEndPr/>
    <w:sdtContent>
      <w:sdt>
        <w:sdtPr>
          <w:id w:val="-1277935106"/>
          <w:docPartObj>
            <w:docPartGallery w:val="Page Numbers (Top of Page)"/>
            <w:docPartUnique/>
          </w:docPartObj>
        </w:sdtPr>
        <w:sdtEndPr/>
        <w:sdtContent>
          <w:p w:rsidR="00ED69E6" w:rsidRDefault="00221C46">
            <w:pPr>
              <w:pStyle w:val="Fuzeile"/>
              <w:jc w:val="center"/>
            </w:pPr>
            <w:r>
              <w:t xml:space="preserve">Seite </w:t>
            </w:r>
            <w:r>
              <w:rPr>
                <w:b/>
                <w:bCs/>
                <w:sz w:val="24"/>
              </w:rPr>
              <w:fldChar w:fldCharType="begin"/>
            </w:r>
            <w:r>
              <w:rPr>
                <w:b/>
                <w:bCs/>
              </w:rPr>
              <w:instrText>PAGE</w:instrText>
            </w:r>
            <w:r>
              <w:rPr>
                <w:b/>
                <w:bCs/>
                <w:sz w:val="24"/>
              </w:rPr>
              <w:fldChar w:fldCharType="separate"/>
            </w:r>
            <w:r w:rsidR="00471C35">
              <w:rPr>
                <w:b/>
                <w:bCs/>
                <w:noProof/>
              </w:rPr>
              <w:t>2</w:t>
            </w:r>
            <w:r>
              <w:rPr>
                <w:b/>
                <w:bCs/>
                <w:sz w:val="24"/>
              </w:rPr>
              <w:fldChar w:fldCharType="end"/>
            </w:r>
            <w:r>
              <w:t xml:space="preserve"> von </w:t>
            </w:r>
            <w:r>
              <w:rPr>
                <w:b/>
                <w:bCs/>
                <w:sz w:val="24"/>
              </w:rPr>
              <w:fldChar w:fldCharType="begin"/>
            </w:r>
            <w:r>
              <w:rPr>
                <w:b/>
                <w:bCs/>
              </w:rPr>
              <w:instrText>NUMPAGES</w:instrText>
            </w:r>
            <w:r>
              <w:rPr>
                <w:b/>
                <w:bCs/>
                <w:sz w:val="24"/>
              </w:rPr>
              <w:fldChar w:fldCharType="separate"/>
            </w:r>
            <w:r w:rsidR="00471C35">
              <w:rPr>
                <w:b/>
                <w:bCs/>
                <w:noProof/>
              </w:rPr>
              <w:t>2</w:t>
            </w:r>
            <w:r>
              <w:rPr>
                <w:b/>
                <w:bCs/>
                <w:sz w:val="24"/>
              </w:rPr>
              <w:fldChar w:fldCharType="end"/>
            </w:r>
          </w:p>
        </w:sdtContent>
      </w:sdt>
    </w:sdtContent>
  </w:sdt>
  <w:p w:rsidR="00ED69E6" w:rsidRDefault="00ED69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46" w:rsidRDefault="00221C46">
      <w:r>
        <w:separator/>
      </w:r>
    </w:p>
  </w:footnote>
  <w:footnote w:type="continuationSeparator" w:id="0">
    <w:p w:rsidR="00221C46" w:rsidRDefault="00221C46">
      <w:r>
        <w:continuationSeparator/>
      </w:r>
    </w:p>
  </w:footnote>
  <w:footnote w:id="1">
    <w:p w:rsidR="00ED69E6" w:rsidRDefault="00221C46">
      <w:pPr>
        <w:pStyle w:val="Funotentext"/>
        <w:rPr>
          <w:lang w:val="de-AT"/>
        </w:rPr>
      </w:pPr>
      <w:r>
        <w:rPr>
          <w:rStyle w:val="Funotenzeichen"/>
        </w:rPr>
        <w:footnoteRef/>
      </w:r>
      <w:r>
        <w:t xml:space="preserve"> </w:t>
      </w:r>
      <w:r>
        <w:rPr>
          <w:lang w:val="de-AT"/>
        </w:rPr>
        <w:t>Sollen Punkte vergeben werden für Kriterien, die mit der örtlichen Situierung der PVE zusammenhängen (gute Erreichbarkeit im öffentlichen Nahverkehr, Parkplätze, taktiles Leitsystem), sind auch Angaben bzw. Belege beizubring</w:t>
      </w:r>
      <w:r>
        <w:rPr>
          <w:lang w:val="de-AT"/>
        </w:rPr>
        <w:t>en, die annehmen lassen, dass die vorgesehenen Räumlichkeiten grundsätzlich für die PVE beziehbar sein werden.</w:t>
      </w:r>
    </w:p>
  </w:footnote>
  <w:footnote w:id="2">
    <w:p w:rsidR="00ED69E6" w:rsidRDefault="00221C46">
      <w:pPr>
        <w:pStyle w:val="Funotentext"/>
        <w:rPr>
          <w:lang w:val="de-AT"/>
        </w:rPr>
      </w:pPr>
      <w:r>
        <w:rPr>
          <w:rStyle w:val="Funotenzeichen"/>
        </w:rPr>
        <w:footnoteRef/>
      </w:r>
      <w:r>
        <w:t xml:space="preserve"> </w:t>
      </w:r>
      <w:r>
        <w:rPr>
          <w:lang w:val="de-AT"/>
        </w:rPr>
        <w:t xml:space="preserve">Bei Netzwerken können diese Punkte vergeben werden, wenn zumindest ein Standort dem Kriterium entspricht. Wenn mehrere Standorte das Kriterium </w:t>
      </w:r>
      <w:r>
        <w:rPr>
          <w:lang w:val="de-AT"/>
        </w:rPr>
        <w:t>erfüllen, können die Punkte aber nur einmal vergeben werden.</w:t>
      </w:r>
    </w:p>
  </w:footnote>
  <w:footnote w:id="3">
    <w:p w:rsidR="00ED69E6" w:rsidRDefault="00221C46">
      <w:pPr>
        <w:pStyle w:val="Funotentext"/>
        <w:rPr>
          <w:lang w:val="de-AT"/>
        </w:rPr>
      </w:pPr>
      <w:r>
        <w:rPr>
          <w:rStyle w:val="Funotenzeichen"/>
        </w:rPr>
        <w:footnoteRef/>
      </w:r>
      <w:r>
        <w:t xml:space="preserve"> </w:t>
      </w:r>
      <w:r>
        <w:rPr>
          <w:rFonts w:cs="Arial"/>
          <w:szCs w:val="22"/>
        </w:rPr>
        <w:t>Zwingende Vorgabe für PVE ist, dass zumindest ein Gesellschafter / eine Gesellschafterin des Teams diese Ausbildung nachweist.</w:t>
      </w:r>
      <w:r>
        <w:rPr>
          <w:rFonts w:cs="Arial"/>
        </w:rPr>
        <w:t xml:space="preserve"> Punkte werden daher nur vergeben, wenn darüber hinaus noch ein wei</w:t>
      </w:r>
      <w:r>
        <w:rPr>
          <w:rFonts w:cs="Arial"/>
        </w:rPr>
        <w:t>teres Mitglied des ärztlichen Teams die Ausbildung vorweisen kann.</w:t>
      </w:r>
    </w:p>
  </w:footnote>
  <w:footnote w:id="4">
    <w:p w:rsidR="00ED69E6" w:rsidRDefault="00221C46">
      <w:pPr>
        <w:pStyle w:val="Funotentext"/>
        <w:rPr>
          <w:lang w:val="de-AT"/>
        </w:rPr>
      </w:pPr>
      <w:r>
        <w:rPr>
          <w:rStyle w:val="Funotenzeichen"/>
        </w:rPr>
        <w:footnoteRef/>
      </w:r>
      <w:r>
        <w:t xml:space="preserve"> </w:t>
      </w:r>
      <w:r>
        <w:rPr>
          <w:lang w:val="de-AT"/>
        </w:rPr>
        <w:t>Eine teilweise Abdeckung der Kassenplanstelle (zumindest allerdings 0,5 Kassenplanstellen), ist im Einvernehmen von Kammer und Kasse möglich. In diesem Fall werden die Punkte aliquot bere</w:t>
      </w:r>
      <w:r>
        <w:rPr>
          <w:lang w:val="de-AT"/>
        </w:rPr>
        <w:t>chnet.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4C63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3E4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D06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649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4641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9AA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F0A2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4F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084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C8C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E56FB"/>
    <w:multiLevelType w:val="multilevel"/>
    <w:tmpl w:val="BAAE4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6E7CA0"/>
    <w:multiLevelType w:val="hybridMultilevel"/>
    <w:tmpl w:val="F5AEA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B5C4322"/>
    <w:multiLevelType w:val="hybridMultilevel"/>
    <w:tmpl w:val="6096DEAC"/>
    <w:lvl w:ilvl="0" w:tplc="7B2241AE">
      <w:start w:val="1"/>
      <w:numFmt w:val="bullet"/>
      <w:lvlText w:val=""/>
      <w:lvlJc w:val="left"/>
      <w:pPr>
        <w:ind w:left="720" w:hanging="360"/>
      </w:pPr>
      <w:rPr>
        <w:rFonts w:ascii="Wingdings" w:hAnsi="Wingdings" w:hint="default"/>
        <w:b w:val="0"/>
        <w:i w:val="0"/>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623D9A"/>
    <w:multiLevelType w:val="hybridMultilevel"/>
    <w:tmpl w:val="71C2A45E"/>
    <w:lvl w:ilvl="0" w:tplc="0C070001">
      <w:start w:val="1"/>
      <w:numFmt w:val="bullet"/>
      <w:lvlText w:val=""/>
      <w:lvlJc w:val="left"/>
      <w:pPr>
        <w:ind w:left="726" w:hanging="360"/>
      </w:pPr>
      <w:rPr>
        <w:rFonts w:ascii="Symbol" w:hAnsi="Symbol" w:hint="default"/>
      </w:rPr>
    </w:lvl>
    <w:lvl w:ilvl="1" w:tplc="0C070003" w:tentative="1">
      <w:start w:val="1"/>
      <w:numFmt w:val="bullet"/>
      <w:lvlText w:val="o"/>
      <w:lvlJc w:val="left"/>
      <w:pPr>
        <w:ind w:left="1446" w:hanging="360"/>
      </w:pPr>
      <w:rPr>
        <w:rFonts w:ascii="Courier New" w:hAnsi="Courier New" w:cs="Courier New" w:hint="default"/>
      </w:rPr>
    </w:lvl>
    <w:lvl w:ilvl="2" w:tplc="0C070005" w:tentative="1">
      <w:start w:val="1"/>
      <w:numFmt w:val="bullet"/>
      <w:lvlText w:val=""/>
      <w:lvlJc w:val="left"/>
      <w:pPr>
        <w:ind w:left="2166" w:hanging="360"/>
      </w:pPr>
      <w:rPr>
        <w:rFonts w:ascii="Wingdings" w:hAnsi="Wingdings" w:hint="default"/>
      </w:rPr>
    </w:lvl>
    <w:lvl w:ilvl="3" w:tplc="0C070001" w:tentative="1">
      <w:start w:val="1"/>
      <w:numFmt w:val="bullet"/>
      <w:lvlText w:val=""/>
      <w:lvlJc w:val="left"/>
      <w:pPr>
        <w:ind w:left="2886" w:hanging="360"/>
      </w:pPr>
      <w:rPr>
        <w:rFonts w:ascii="Symbol" w:hAnsi="Symbol" w:hint="default"/>
      </w:rPr>
    </w:lvl>
    <w:lvl w:ilvl="4" w:tplc="0C070003" w:tentative="1">
      <w:start w:val="1"/>
      <w:numFmt w:val="bullet"/>
      <w:lvlText w:val="o"/>
      <w:lvlJc w:val="left"/>
      <w:pPr>
        <w:ind w:left="3606" w:hanging="360"/>
      </w:pPr>
      <w:rPr>
        <w:rFonts w:ascii="Courier New" w:hAnsi="Courier New" w:cs="Courier New" w:hint="default"/>
      </w:rPr>
    </w:lvl>
    <w:lvl w:ilvl="5" w:tplc="0C070005" w:tentative="1">
      <w:start w:val="1"/>
      <w:numFmt w:val="bullet"/>
      <w:lvlText w:val=""/>
      <w:lvlJc w:val="left"/>
      <w:pPr>
        <w:ind w:left="4326" w:hanging="360"/>
      </w:pPr>
      <w:rPr>
        <w:rFonts w:ascii="Wingdings" w:hAnsi="Wingdings" w:hint="default"/>
      </w:rPr>
    </w:lvl>
    <w:lvl w:ilvl="6" w:tplc="0C070001" w:tentative="1">
      <w:start w:val="1"/>
      <w:numFmt w:val="bullet"/>
      <w:lvlText w:val=""/>
      <w:lvlJc w:val="left"/>
      <w:pPr>
        <w:ind w:left="5046" w:hanging="360"/>
      </w:pPr>
      <w:rPr>
        <w:rFonts w:ascii="Symbol" w:hAnsi="Symbol" w:hint="default"/>
      </w:rPr>
    </w:lvl>
    <w:lvl w:ilvl="7" w:tplc="0C070003" w:tentative="1">
      <w:start w:val="1"/>
      <w:numFmt w:val="bullet"/>
      <w:lvlText w:val="o"/>
      <w:lvlJc w:val="left"/>
      <w:pPr>
        <w:ind w:left="5766" w:hanging="360"/>
      </w:pPr>
      <w:rPr>
        <w:rFonts w:ascii="Courier New" w:hAnsi="Courier New" w:cs="Courier New" w:hint="default"/>
      </w:rPr>
    </w:lvl>
    <w:lvl w:ilvl="8" w:tplc="0C070005" w:tentative="1">
      <w:start w:val="1"/>
      <w:numFmt w:val="bullet"/>
      <w:lvlText w:val=""/>
      <w:lvlJc w:val="left"/>
      <w:pPr>
        <w:ind w:left="6486" w:hanging="360"/>
      </w:pPr>
      <w:rPr>
        <w:rFonts w:ascii="Wingdings" w:hAnsi="Wingdings" w:hint="default"/>
      </w:rPr>
    </w:lvl>
  </w:abstractNum>
  <w:abstractNum w:abstractNumId="14" w15:restartNumberingAfterBreak="0">
    <w:nsid w:val="2D5D12E5"/>
    <w:multiLevelType w:val="hybridMultilevel"/>
    <w:tmpl w:val="8BF2588E"/>
    <w:lvl w:ilvl="0" w:tplc="B37AE7D6">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39B93E1B"/>
    <w:multiLevelType w:val="hybridMultilevel"/>
    <w:tmpl w:val="73A624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441D5A52"/>
    <w:multiLevelType w:val="hybridMultilevel"/>
    <w:tmpl w:val="87F4121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15:restartNumberingAfterBreak="0">
    <w:nsid w:val="44B345B3"/>
    <w:multiLevelType w:val="hybridMultilevel"/>
    <w:tmpl w:val="70A877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452D1E8E"/>
    <w:multiLevelType w:val="hybridMultilevel"/>
    <w:tmpl w:val="CFBA9FE2"/>
    <w:lvl w:ilvl="0" w:tplc="EADC8CF4">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80D6B93"/>
    <w:multiLevelType w:val="hybridMultilevel"/>
    <w:tmpl w:val="84D68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DE50A3"/>
    <w:multiLevelType w:val="hybridMultilevel"/>
    <w:tmpl w:val="91888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4EE6962"/>
    <w:multiLevelType w:val="hybridMultilevel"/>
    <w:tmpl w:val="81867A32"/>
    <w:lvl w:ilvl="0" w:tplc="0C070019">
      <w:start w:val="1"/>
      <w:numFmt w:val="lowerLetter"/>
      <w:lvlText w:val="%1."/>
      <w:lvlJc w:val="left"/>
      <w:pPr>
        <w:ind w:left="1713" w:hanging="360"/>
      </w:pPr>
    </w:lvl>
    <w:lvl w:ilvl="1" w:tplc="0C070019" w:tentative="1">
      <w:start w:val="1"/>
      <w:numFmt w:val="lowerLetter"/>
      <w:lvlText w:val="%2."/>
      <w:lvlJc w:val="left"/>
      <w:pPr>
        <w:ind w:left="2433" w:hanging="360"/>
      </w:pPr>
    </w:lvl>
    <w:lvl w:ilvl="2" w:tplc="0C07001B" w:tentative="1">
      <w:start w:val="1"/>
      <w:numFmt w:val="lowerRoman"/>
      <w:lvlText w:val="%3."/>
      <w:lvlJc w:val="right"/>
      <w:pPr>
        <w:ind w:left="3153" w:hanging="180"/>
      </w:pPr>
    </w:lvl>
    <w:lvl w:ilvl="3" w:tplc="0C07000F" w:tentative="1">
      <w:start w:val="1"/>
      <w:numFmt w:val="decimal"/>
      <w:lvlText w:val="%4."/>
      <w:lvlJc w:val="left"/>
      <w:pPr>
        <w:ind w:left="3873" w:hanging="360"/>
      </w:pPr>
    </w:lvl>
    <w:lvl w:ilvl="4" w:tplc="0C070019" w:tentative="1">
      <w:start w:val="1"/>
      <w:numFmt w:val="lowerLetter"/>
      <w:lvlText w:val="%5."/>
      <w:lvlJc w:val="left"/>
      <w:pPr>
        <w:ind w:left="4593" w:hanging="360"/>
      </w:pPr>
    </w:lvl>
    <w:lvl w:ilvl="5" w:tplc="0C07001B" w:tentative="1">
      <w:start w:val="1"/>
      <w:numFmt w:val="lowerRoman"/>
      <w:lvlText w:val="%6."/>
      <w:lvlJc w:val="right"/>
      <w:pPr>
        <w:ind w:left="5313" w:hanging="180"/>
      </w:pPr>
    </w:lvl>
    <w:lvl w:ilvl="6" w:tplc="0C07000F" w:tentative="1">
      <w:start w:val="1"/>
      <w:numFmt w:val="decimal"/>
      <w:lvlText w:val="%7."/>
      <w:lvlJc w:val="left"/>
      <w:pPr>
        <w:ind w:left="6033" w:hanging="360"/>
      </w:pPr>
    </w:lvl>
    <w:lvl w:ilvl="7" w:tplc="0C070019" w:tentative="1">
      <w:start w:val="1"/>
      <w:numFmt w:val="lowerLetter"/>
      <w:lvlText w:val="%8."/>
      <w:lvlJc w:val="left"/>
      <w:pPr>
        <w:ind w:left="6753" w:hanging="360"/>
      </w:pPr>
    </w:lvl>
    <w:lvl w:ilvl="8" w:tplc="0C07001B" w:tentative="1">
      <w:start w:val="1"/>
      <w:numFmt w:val="lowerRoman"/>
      <w:lvlText w:val="%9."/>
      <w:lvlJc w:val="right"/>
      <w:pPr>
        <w:ind w:left="7473" w:hanging="180"/>
      </w:pPr>
    </w:lvl>
  </w:abstractNum>
  <w:abstractNum w:abstractNumId="22" w15:restartNumberingAfterBreak="0">
    <w:nsid w:val="60754032"/>
    <w:multiLevelType w:val="hybridMultilevel"/>
    <w:tmpl w:val="24983C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6A061BB"/>
    <w:multiLevelType w:val="hybridMultilevel"/>
    <w:tmpl w:val="CDF485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84F70EF"/>
    <w:multiLevelType w:val="hybridMultilevel"/>
    <w:tmpl w:val="D2BAB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A4F25D9"/>
    <w:multiLevelType w:val="hybridMultilevel"/>
    <w:tmpl w:val="4ED24DFE"/>
    <w:lvl w:ilvl="0" w:tplc="0C070019">
      <w:start w:val="1"/>
      <w:numFmt w:val="lowerLetter"/>
      <w:lvlText w:val="%1."/>
      <w:lvlJc w:val="left"/>
      <w:pPr>
        <w:ind w:left="1713" w:hanging="360"/>
      </w:pPr>
    </w:lvl>
    <w:lvl w:ilvl="1" w:tplc="0C070019" w:tentative="1">
      <w:start w:val="1"/>
      <w:numFmt w:val="lowerLetter"/>
      <w:lvlText w:val="%2."/>
      <w:lvlJc w:val="left"/>
      <w:pPr>
        <w:ind w:left="2433" w:hanging="360"/>
      </w:pPr>
    </w:lvl>
    <w:lvl w:ilvl="2" w:tplc="0C07001B" w:tentative="1">
      <w:start w:val="1"/>
      <w:numFmt w:val="lowerRoman"/>
      <w:lvlText w:val="%3."/>
      <w:lvlJc w:val="right"/>
      <w:pPr>
        <w:ind w:left="3153" w:hanging="180"/>
      </w:pPr>
    </w:lvl>
    <w:lvl w:ilvl="3" w:tplc="0C07000F" w:tentative="1">
      <w:start w:val="1"/>
      <w:numFmt w:val="decimal"/>
      <w:lvlText w:val="%4."/>
      <w:lvlJc w:val="left"/>
      <w:pPr>
        <w:ind w:left="3873" w:hanging="360"/>
      </w:pPr>
    </w:lvl>
    <w:lvl w:ilvl="4" w:tplc="0C070019" w:tentative="1">
      <w:start w:val="1"/>
      <w:numFmt w:val="lowerLetter"/>
      <w:lvlText w:val="%5."/>
      <w:lvlJc w:val="left"/>
      <w:pPr>
        <w:ind w:left="4593" w:hanging="360"/>
      </w:pPr>
    </w:lvl>
    <w:lvl w:ilvl="5" w:tplc="0C07001B" w:tentative="1">
      <w:start w:val="1"/>
      <w:numFmt w:val="lowerRoman"/>
      <w:lvlText w:val="%6."/>
      <w:lvlJc w:val="right"/>
      <w:pPr>
        <w:ind w:left="5313" w:hanging="180"/>
      </w:pPr>
    </w:lvl>
    <w:lvl w:ilvl="6" w:tplc="0C07000F" w:tentative="1">
      <w:start w:val="1"/>
      <w:numFmt w:val="decimal"/>
      <w:lvlText w:val="%7."/>
      <w:lvlJc w:val="left"/>
      <w:pPr>
        <w:ind w:left="6033" w:hanging="360"/>
      </w:pPr>
    </w:lvl>
    <w:lvl w:ilvl="7" w:tplc="0C070019" w:tentative="1">
      <w:start w:val="1"/>
      <w:numFmt w:val="lowerLetter"/>
      <w:lvlText w:val="%8."/>
      <w:lvlJc w:val="left"/>
      <w:pPr>
        <w:ind w:left="6753" w:hanging="360"/>
      </w:pPr>
    </w:lvl>
    <w:lvl w:ilvl="8" w:tplc="0C07001B" w:tentative="1">
      <w:start w:val="1"/>
      <w:numFmt w:val="lowerRoman"/>
      <w:lvlText w:val="%9."/>
      <w:lvlJc w:val="right"/>
      <w:pPr>
        <w:ind w:left="7473" w:hanging="180"/>
      </w:pPr>
    </w:lvl>
  </w:abstractNum>
  <w:abstractNum w:abstractNumId="26" w15:restartNumberingAfterBreak="0">
    <w:nsid w:val="6EBD1CA8"/>
    <w:multiLevelType w:val="hybridMultilevel"/>
    <w:tmpl w:val="E09E8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E0425E"/>
    <w:multiLevelType w:val="hybridMultilevel"/>
    <w:tmpl w:val="B98837A4"/>
    <w:lvl w:ilvl="0" w:tplc="0C070001">
      <w:start w:val="1"/>
      <w:numFmt w:val="bullet"/>
      <w:lvlText w:val=""/>
      <w:lvlJc w:val="left"/>
      <w:pPr>
        <w:ind w:left="1713" w:hanging="360"/>
      </w:pPr>
      <w:rPr>
        <w:rFonts w:ascii="Symbol" w:hAnsi="Symbol" w:hint="default"/>
      </w:rPr>
    </w:lvl>
    <w:lvl w:ilvl="1" w:tplc="0C070019" w:tentative="1">
      <w:start w:val="1"/>
      <w:numFmt w:val="lowerLetter"/>
      <w:lvlText w:val="%2."/>
      <w:lvlJc w:val="left"/>
      <w:pPr>
        <w:ind w:left="2433" w:hanging="360"/>
      </w:pPr>
    </w:lvl>
    <w:lvl w:ilvl="2" w:tplc="0C07001B" w:tentative="1">
      <w:start w:val="1"/>
      <w:numFmt w:val="lowerRoman"/>
      <w:lvlText w:val="%3."/>
      <w:lvlJc w:val="right"/>
      <w:pPr>
        <w:ind w:left="3153" w:hanging="180"/>
      </w:pPr>
    </w:lvl>
    <w:lvl w:ilvl="3" w:tplc="0C07000F" w:tentative="1">
      <w:start w:val="1"/>
      <w:numFmt w:val="decimal"/>
      <w:lvlText w:val="%4."/>
      <w:lvlJc w:val="left"/>
      <w:pPr>
        <w:ind w:left="3873" w:hanging="360"/>
      </w:pPr>
    </w:lvl>
    <w:lvl w:ilvl="4" w:tplc="0C070019" w:tentative="1">
      <w:start w:val="1"/>
      <w:numFmt w:val="lowerLetter"/>
      <w:lvlText w:val="%5."/>
      <w:lvlJc w:val="left"/>
      <w:pPr>
        <w:ind w:left="4593" w:hanging="360"/>
      </w:pPr>
    </w:lvl>
    <w:lvl w:ilvl="5" w:tplc="0C07001B" w:tentative="1">
      <w:start w:val="1"/>
      <w:numFmt w:val="lowerRoman"/>
      <w:lvlText w:val="%6."/>
      <w:lvlJc w:val="right"/>
      <w:pPr>
        <w:ind w:left="5313" w:hanging="180"/>
      </w:pPr>
    </w:lvl>
    <w:lvl w:ilvl="6" w:tplc="0C07000F" w:tentative="1">
      <w:start w:val="1"/>
      <w:numFmt w:val="decimal"/>
      <w:lvlText w:val="%7."/>
      <w:lvlJc w:val="left"/>
      <w:pPr>
        <w:ind w:left="6033" w:hanging="360"/>
      </w:pPr>
    </w:lvl>
    <w:lvl w:ilvl="7" w:tplc="0C070019" w:tentative="1">
      <w:start w:val="1"/>
      <w:numFmt w:val="lowerLetter"/>
      <w:lvlText w:val="%8."/>
      <w:lvlJc w:val="left"/>
      <w:pPr>
        <w:ind w:left="6753" w:hanging="360"/>
      </w:pPr>
    </w:lvl>
    <w:lvl w:ilvl="8" w:tplc="0C07001B" w:tentative="1">
      <w:start w:val="1"/>
      <w:numFmt w:val="lowerRoman"/>
      <w:lvlText w:val="%9."/>
      <w:lvlJc w:val="right"/>
      <w:pPr>
        <w:ind w:left="7473" w:hanging="180"/>
      </w:pPr>
    </w:lvl>
  </w:abstractNum>
  <w:abstractNum w:abstractNumId="28" w15:restartNumberingAfterBreak="0">
    <w:nsid w:val="7CD55599"/>
    <w:multiLevelType w:val="hybridMultilevel"/>
    <w:tmpl w:val="0B82E8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9"/>
  </w:num>
  <w:num w:numId="14">
    <w:abstractNumId w:val="20"/>
  </w:num>
  <w:num w:numId="15">
    <w:abstractNumId w:val="11"/>
  </w:num>
  <w:num w:numId="16">
    <w:abstractNumId w:val="15"/>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8"/>
  </w:num>
  <w:num w:numId="21">
    <w:abstractNumId w:val="22"/>
  </w:num>
  <w:num w:numId="22">
    <w:abstractNumId w:val="13"/>
  </w:num>
  <w:num w:numId="23">
    <w:abstractNumId w:val="23"/>
  </w:num>
  <w:num w:numId="24">
    <w:abstractNumId w:val="18"/>
  </w:num>
  <w:num w:numId="25">
    <w:abstractNumId w:val="25"/>
  </w:num>
  <w:num w:numId="26">
    <w:abstractNumId w:val="27"/>
  </w:num>
  <w:num w:numId="27">
    <w:abstractNumId w:val="21"/>
  </w:num>
  <w:num w:numId="28">
    <w:abstractNumId w:val="26"/>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E6"/>
    <w:rsid w:val="00221C46"/>
    <w:rsid w:val="00471C35"/>
    <w:rsid w:val="00ED69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F42D0D-8031-4B0E-BB17-94C8466B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heme="minorHAnsi" w:hAnsiTheme="minorHAnsi"/>
      <w:sz w:val="22"/>
      <w:szCs w:val="24"/>
      <w:lang w:val="de-DE" w:eastAsia="de-DE"/>
    </w:rPr>
  </w:style>
  <w:style w:type="paragraph" w:styleId="berschrift1">
    <w:name w:val="heading 1"/>
    <w:basedOn w:val="Standard"/>
    <w:next w:val="Standard"/>
    <w:qFormat/>
    <w:pPr>
      <w:keepNext/>
      <w:spacing w:before="120" w:after="60"/>
      <w:outlineLvl w:val="0"/>
    </w:pPr>
    <w:rPr>
      <w:b/>
      <w:kern w:val="28"/>
      <w:sz w:val="32"/>
    </w:rPr>
  </w:style>
  <w:style w:type="paragraph" w:styleId="berschrift2">
    <w:name w:val="heading 2"/>
    <w:basedOn w:val="Standard"/>
    <w:next w:val="Standard"/>
    <w:qFormat/>
    <w:pPr>
      <w:keepNext/>
      <w:spacing w:before="120" w:after="60"/>
      <w:outlineLvl w:val="1"/>
    </w:pPr>
    <w:rPr>
      <w:b/>
      <w:sz w:val="28"/>
    </w:rPr>
  </w:style>
  <w:style w:type="paragraph" w:styleId="berschrift3">
    <w:name w:val="heading 3"/>
    <w:basedOn w:val="Standard"/>
    <w:next w:val="Standard"/>
    <w:qFormat/>
    <w:pPr>
      <w:keepNext/>
      <w:spacing w:before="12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rift1">
    <w:name w:val="Schrift 1"/>
    <w:basedOn w:val="berschrift1"/>
    <w:rPr>
      <w:caps/>
    </w:rPr>
  </w:style>
  <w:style w:type="paragraph" w:customStyle="1" w:styleId="Schrift2">
    <w:name w:val="Schrift 2"/>
    <w:basedOn w:val="berschrift2"/>
    <w:rPr>
      <w:caps/>
    </w:rPr>
  </w:style>
  <w:style w:type="paragraph" w:customStyle="1" w:styleId="Schrift3">
    <w:name w:val="Schrift 3"/>
    <w:basedOn w:val="berschrift3"/>
    <w:rPr>
      <w:caps/>
    </w:rPr>
  </w:style>
  <w:style w:type="paragraph" w:customStyle="1" w:styleId="Schrift4">
    <w:name w:val="Schrift 4"/>
    <w:basedOn w:val="Standard"/>
    <w:rPr>
      <w:cap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paragraph" w:styleId="Kopfzeile">
    <w:name w:val="header"/>
    <w:basedOn w:val="Standard"/>
    <w:link w:val="KopfzeileZchn"/>
    <w:uiPriority w:val="99"/>
    <w:pPr>
      <w:tabs>
        <w:tab w:val="center" w:pos="4536"/>
        <w:tab w:val="right" w:pos="9072"/>
      </w:tabs>
      <w:spacing w:line="360" w:lineRule="auto"/>
    </w:pPr>
    <w:rPr>
      <w:rFonts w:ascii="Arial" w:hAnsi="Arial"/>
    </w:rPr>
  </w:style>
  <w:style w:type="character" w:customStyle="1" w:styleId="KopfzeileZchn">
    <w:name w:val="Kopfzeile Zchn"/>
    <w:basedOn w:val="Absatz-Standardschriftart"/>
    <w:link w:val="Kopfzeile"/>
    <w:uiPriority w:val="99"/>
    <w:rPr>
      <w:rFonts w:ascii="Arial" w:hAnsi="Arial"/>
      <w:sz w:val="22"/>
      <w:szCs w:val="24"/>
      <w:lang w:val="de-DE" w:eastAsia="de-D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lang w:val="de-DE" w:eastAsia="de-DE"/>
    </w:rPr>
  </w:style>
  <w:style w:type="paragraph" w:styleId="Listenabsatz">
    <w:name w:val="List Paragraph"/>
    <w:aliases w:val="XTABELLE"/>
    <w:basedOn w:val="Standard"/>
    <w:uiPriority w:val="34"/>
    <w:qFormat/>
    <w:pPr>
      <w:ind w:left="720"/>
      <w:contextualSpacing/>
    </w:pPr>
    <w:rPr>
      <w:rFonts w:ascii="Calibri" w:eastAsia="Calibri" w:hAnsi="Calibri"/>
      <w:szCs w:val="22"/>
      <w:lang w:val="de-AT"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Pr>
      <w:rFonts w:ascii="Arial" w:hAnsi="Arial"/>
      <w:sz w:val="20"/>
      <w:szCs w:val="20"/>
    </w:rPr>
  </w:style>
  <w:style w:type="character" w:customStyle="1" w:styleId="FunotentextZchn">
    <w:name w:val="Fußnotentext Zchn"/>
    <w:basedOn w:val="Absatz-Standardschriftart"/>
    <w:link w:val="Funotentext"/>
    <w:uiPriority w:val="99"/>
    <w:semiHidden/>
    <w:rPr>
      <w:rFonts w:ascii="Arial" w:hAnsi="Arial"/>
      <w:lang w:val="de-DE" w:eastAsia="de-DE"/>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3266">
      <w:bodyDiv w:val="1"/>
      <w:marLeft w:val="0"/>
      <w:marRight w:val="0"/>
      <w:marTop w:val="0"/>
      <w:marBottom w:val="0"/>
      <w:divBdr>
        <w:top w:val="none" w:sz="0" w:space="0" w:color="auto"/>
        <w:left w:val="none" w:sz="0" w:space="0" w:color="auto"/>
        <w:bottom w:val="none" w:sz="0" w:space="0" w:color="auto"/>
        <w:right w:val="none" w:sz="0" w:space="0" w:color="auto"/>
      </w:divBdr>
    </w:div>
    <w:div w:id="1082683119">
      <w:bodyDiv w:val="1"/>
      <w:marLeft w:val="0"/>
      <w:marRight w:val="0"/>
      <w:marTop w:val="0"/>
      <w:marBottom w:val="0"/>
      <w:divBdr>
        <w:top w:val="none" w:sz="0" w:space="0" w:color="auto"/>
        <w:left w:val="none" w:sz="0" w:space="0" w:color="auto"/>
        <w:bottom w:val="none" w:sz="0" w:space="0" w:color="auto"/>
        <w:right w:val="none" w:sz="0" w:space="0" w:color="auto"/>
      </w:divBdr>
    </w:div>
    <w:div w:id="16455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ÖGKK_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71F4-7920-419F-AAA9-7CB3B0C8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ITSV</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Jahn Belinda</dc:creator>
  <cp:keywords/>
  <dc:description/>
  <cp:lastModifiedBy>Herdega Nikolaus - Ärztekammer OÖ</cp:lastModifiedBy>
  <cp:revision>2</cp:revision>
  <cp:lastPrinted>2021-10-18T08:13:00Z</cp:lastPrinted>
  <dcterms:created xsi:type="dcterms:W3CDTF">2022-10-12T15:59:00Z</dcterms:created>
  <dcterms:modified xsi:type="dcterms:W3CDTF">2022-10-12T15:59:00Z</dcterms:modified>
</cp:coreProperties>
</file>